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00" w:rsidRDefault="00C22900"/>
    <w:p w:rsidR="009B744C" w:rsidRPr="00F8204F" w:rsidRDefault="00BE770E" w:rsidP="00BE770E">
      <w:pPr>
        <w:jc w:val="center"/>
        <w:rPr>
          <w:rFonts w:ascii="Times New Roman" w:eastAsia="Arial" w:hAnsi="Times New Roman" w:cs="Times New Roman"/>
          <w:b/>
          <w:sz w:val="36"/>
          <w:szCs w:val="28"/>
        </w:rPr>
      </w:pPr>
      <w:r w:rsidRPr="00F8204F">
        <w:rPr>
          <w:rFonts w:ascii="Times New Roman" w:eastAsia="Arial" w:hAnsi="Times New Roman" w:cs="Times New Roman"/>
          <w:b/>
          <w:sz w:val="36"/>
          <w:szCs w:val="28"/>
        </w:rPr>
        <w:t>ANEXO IX.A</w:t>
      </w:r>
    </w:p>
    <w:p w:rsidR="00BE770E" w:rsidRDefault="00BE770E" w:rsidP="00BE770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A55F9">
        <w:rPr>
          <w:rFonts w:ascii="Arial" w:eastAsia="Arial" w:hAnsi="Arial" w:cs="Arial"/>
          <w:noProof/>
          <w:sz w:val="20"/>
          <w:szCs w:val="24"/>
          <w:lang w:eastAsia="es-ES"/>
        </w:rPr>
        <mc:AlternateContent>
          <mc:Choice Requires="wps">
            <w:drawing>
              <wp:inline distT="0" distB="0" distL="0" distR="0" wp14:anchorId="4C7E6D31" wp14:editId="292FDDE6">
                <wp:extent cx="5400040" cy="751019"/>
                <wp:effectExtent l="0" t="0" r="10160" b="11430"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51019"/>
                        </a:xfrm>
                        <a:prstGeom prst="rect">
                          <a:avLst/>
                        </a:prstGeom>
                        <a:solidFill>
                          <a:srgbClr val="355E91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70E" w:rsidRDefault="00BE770E" w:rsidP="00BE770E">
                            <w:pPr>
                              <w:pStyle w:val="Textoindependiente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BE770E" w:rsidRPr="001A55F9" w:rsidRDefault="00BE770E" w:rsidP="00BE770E">
                            <w:pPr>
                              <w:spacing w:line="322" w:lineRule="exact"/>
                              <w:ind w:right="51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9900"/>
                                <w:sz w:val="28"/>
                              </w:rPr>
                              <w:t>CRITERIOS DE EVALUACIÓN DE LA EXPOSICIÓN Y DEFENSA DEL TFM</w:t>
                            </w:r>
                          </w:p>
                          <w:p w:rsidR="00BE770E" w:rsidRDefault="00BE770E" w:rsidP="00BE770E">
                            <w:pPr>
                              <w:ind w:right="51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7E6D3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25.2pt;height:5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" fillcolor="#355e91" strokeweight=".16936mm">
                <v:textbox inset="0,0,0,0">
                  <w:txbxContent>
                    <w:p w:rsidR="00BE770E" w:rsidRDefault="00BE770E" w:rsidP="00BE770E">
                      <w:pPr>
                        <w:pStyle w:val="Textoindependiente"/>
                        <w:spacing w:before="6"/>
                        <w:rPr>
                          <w:sz w:val="29"/>
                        </w:rPr>
                      </w:pPr>
                    </w:p>
                    <w:p w:rsidR="00BE770E" w:rsidRPr="001A55F9" w:rsidRDefault="00BE770E" w:rsidP="00BE770E">
                      <w:pPr>
                        <w:spacing w:line="322" w:lineRule="exact"/>
                        <w:ind w:right="51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9900"/>
                          <w:sz w:val="28"/>
                        </w:rPr>
                        <w:t>CRITERIOS DE EVALUACIÓN DE LA EXPOSICIÓN Y DEFENSA DEL TFM</w:t>
                      </w:r>
                    </w:p>
                    <w:p w:rsidR="00BE770E" w:rsidRDefault="00BE770E" w:rsidP="00BE770E">
                      <w:pPr>
                        <w:ind w:right="51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E770E" w:rsidRPr="009837C9" w:rsidRDefault="00BE770E" w:rsidP="00F8204F">
      <w:pPr>
        <w:widowControl w:val="0"/>
        <w:autoSpaceDE w:val="0"/>
        <w:autoSpaceDN w:val="0"/>
        <w:spacing w:before="240"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9837C9">
        <w:rPr>
          <w:rFonts w:ascii="Times New Roman" w:eastAsia="Arial" w:hAnsi="Times New Roman" w:cs="Times New Roman"/>
          <w:sz w:val="24"/>
          <w:szCs w:val="24"/>
        </w:rPr>
        <w:t xml:space="preserve">Para la evaluación de la exposición y defensa del TFM, la Comisión Evaluadora </w:t>
      </w:r>
      <w:r w:rsidR="0058492F">
        <w:rPr>
          <w:rFonts w:ascii="Times New Roman" w:eastAsia="Arial" w:hAnsi="Times New Roman" w:cs="Times New Roman"/>
          <w:sz w:val="24"/>
          <w:szCs w:val="24"/>
        </w:rPr>
        <w:t xml:space="preserve">se recomienda </w:t>
      </w:r>
      <w:r w:rsidRPr="009837C9">
        <w:rPr>
          <w:rFonts w:ascii="Times New Roman" w:eastAsia="Arial" w:hAnsi="Times New Roman" w:cs="Times New Roman"/>
          <w:sz w:val="24"/>
          <w:szCs w:val="24"/>
        </w:rPr>
        <w:t>atenerse a los siguientes criterios: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ASPECTOS FORMALES (0-5 puntos):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Adecuación al tiempo establecido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Adecuación de la vestimenta el contexto académico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Corrección en la expresión gestual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Interés despertado en la Comisión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Precisión y claridad de las ideas expresadas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Fluidez y claridad del lenguaje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Adecuación en la utilización del lenguaje forense y del académico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CONTENIDOS DE LA EXPOSICIÓN ORAL (0-3 puntos):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Organización y estructuración de la información presentada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Relevancia y coherencia de la información seleccionada en la exposición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Capacidad de síntesis en la presentación de ideas, conceptos y contenidos de la exposición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Coherencia y significatividad de las ideas destacadas en la presentación del trabajo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RESPUESTAS A LAS CUESTIONES PLANTEADAS POR LA COMISIÓN (0-2 puntos):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Concreción, precisión y claridad en las respuestas a las cuestiones planteadas</w:t>
      </w:r>
    </w:p>
    <w:p w:rsidR="00BE770E" w:rsidRPr="009837C9" w:rsidRDefault="00BE770E" w:rsidP="0058492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37C9">
        <w:rPr>
          <w:rFonts w:ascii="Times New Roman" w:eastAsia="Arial" w:hAnsi="Times New Roman" w:cs="Times New Roman"/>
          <w:sz w:val="24"/>
          <w:szCs w:val="24"/>
        </w:rPr>
        <w:t>- Justificación y congruencia de las respuestas emitidas</w:t>
      </w:r>
    </w:p>
    <w:p w:rsidR="00BE770E" w:rsidRDefault="00BE770E" w:rsidP="00BE770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BE770E" w:rsidRDefault="00BE770E" w:rsidP="00BE770E">
      <w:pPr>
        <w:jc w:val="center"/>
      </w:pPr>
    </w:p>
    <w:p w:rsidR="009B744C" w:rsidRDefault="009B744C"/>
    <w:sectPr w:rsidR="009B74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02" w:rsidRDefault="00E85002" w:rsidP="009B744C">
      <w:pPr>
        <w:spacing w:after="0" w:line="240" w:lineRule="auto"/>
      </w:pPr>
      <w:r>
        <w:separator/>
      </w:r>
    </w:p>
  </w:endnote>
  <w:endnote w:type="continuationSeparator" w:id="0">
    <w:p w:rsidR="00E85002" w:rsidRDefault="00E85002" w:rsidP="009B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02" w:rsidRDefault="00E85002" w:rsidP="009B744C">
      <w:pPr>
        <w:spacing w:after="0" w:line="240" w:lineRule="auto"/>
      </w:pPr>
      <w:r>
        <w:separator/>
      </w:r>
    </w:p>
  </w:footnote>
  <w:footnote w:type="continuationSeparator" w:id="0">
    <w:p w:rsidR="00E85002" w:rsidRDefault="00E85002" w:rsidP="009B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4C" w:rsidRDefault="009B744C" w:rsidP="009B744C">
    <w:pPr>
      <w:spacing w:before="97"/>
      <w:ind w:left="338" w:right="290" w:firstLine="5"/>
      <w:jc w:val="center"/>
    </w:pPr>
    <w:r w:rsidRPr="00933443"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52CE7AE7" wp14:editId="564DDDD6">
          <wp:simplePos x="0" y="0"/>
          <wp:positionH relativeFrom="page">
            <wp:posOffset>2677795</wp:posOffset>
          </wp:positionH>
          <wp:positionV relativeFrom="paragraph">
            <wp:posOffset>-143510</wp:posOffset>
          </wp:positionV>
          <wp:extent cx="12065" cy="60960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44467E" wp14:editId="4A510AE4">
              <wp:simplePos x="0" y="0"/>
              <wp:positionH relativeFrom="column">
                <wp:posOffset>1876425</wp:posOffset>
              </wp:positionH>
              <wp:positionV relativeFrom="paragraph">
                <wp:posOffset>-28575</wp:posOffset>
              </wp:positionV>
              <wp:extent cx="1744980" cy="1404620"/>
              <wp:effectExtent l="0" t="0" r="0" b="38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44C" w:rsidRDefault="009B744C" w:rsidP="009B744C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color w:val="005373"/>
                            </w:rPr>
                            <w:t>Facultad de Derecho</w:t>
                          </w:r>
                          <w:r>
                            <w:rPr>
                              <w:rFonts w:ascii="Times New Roman"/>
                              <w:color w:val="005373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05F73"/>
                            </w:rPr>
                            <w:t>Decanato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444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47.75pt;margin-top:-2.25pt;width:1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" filled="f" stroked="f">
              <v:textbox style="mso-fit-shape-to-text:t">
                <w:txbxContent>
                  <w:p w:rsidR="009B744C" w:rsidRDefault="009B744C" w:rsidP="009B744C">
                    <w:pPr>
                      <w:jc w:val="center"/>
                    </w:pPr>
                    <w:r>
                      <w:rPr>
                        <w:rFonts w:ascii="Times New Roman"/>
                        <w:color w:val="005373"/>
                      </w:rPr>
                      <w:t>Facultad de Derecho</w:t>
                    </w:r>
                    <w:r>
                      <w:rPr>
                        <w:rFonts w:ascii="Times New Roman"/>
                        <w:color w:val="005373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  <w:color w:val="005F73"/>
                      </w:rPr>
                      <w:t>Decanato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221BB2BC" wp14:editId="1BA48AF9">
          <wp:simplePos x="0" y="0"/>
          <wp:positionH relativeFrom="page">
            <wp:posOffset>5034915</wp:posOffset>
          </wp:positionH>
          <wp:positionV relativeFrom="paragraph">
            <wp:posOffset>-145415</wp:posOffset>
          </wp:positionV>
          <wp:extent cx="12065" cy="609600"/>
          <wp:effectExtent l="0" t="0" r="0" b="0"/>
          <wp:wrapNone/>
          <wp:docPr id="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744089" wp14:editId="10DC8597">
              <wp:simplePos x="0" y="0"/>
              <wp:positionH relativeFrom="column">
                <wp:posOffset>3880485</wp:posOffset>
              </wp:positionH>
              <wp:positionV relativeFrom="paragraph">
                <wp:posOffset>-160020</wp:posOffset>
              </wp:positionV>
              <wp:extent cx="247650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744C" w:rsidRPr="00933443" w:rsidRDefault="009B744C" w:rsidP="009B744C">
                          <w:pPr>
                            <w:widowControl w:val="0"/>
                            <w:autoSpaceDE w:val="0"/>
                            <w:autoSpaceDN w:val="0"/>
                            <w:spacing w:before="97" w:after="0" w:line="240" w:lineRule="auto"/>
                            <w:ind w:left="338" w:right="290" w:firstLine="5"/>
                            <w:jc w:val="center"/>
                            <w:rPr>
                              <w:rFonts w:ascii="Times New Roman" w:eastAsia="Arial MT" w:hAnsi="Times New Roman" w:cs="Arial MT"/>
                              <w:sz w:val="18"/>
                            </w:rPr>
                          </w:pP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Máster Universitario en Relaciones Internacionales y Migraciones / Master in International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Relations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Migrations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br/>
                          </w:r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(International and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European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Studies</w:t>
                          </w:r>
                          <w:proofErr w:type="spellEnd"/>
                          <w:r w:rsidRPr="00933443">
                            <w:rPr>
                              <w:rFonts w:ascii="Times New Roman" w:eastAsia="Arial MT" w:hAnsi="Times New Roman" w:cs="Arial MT"/>
                              <w:color w:val="005373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744089" id="_x0000_s1028" type="#_x0000_t202" style="position:absolute;left:0;text-align:left;margin-left:305.55pt;margin-top:-12.6pt;width:1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" stroked="f">
              <v:textbox style="mso-fit-shape-to-text:t">
                <w:txbxContent>
                  <w:p w:rsidR="009B744C" w:rsidRPr="00933443" w:rsidRDefault="009B744C" w:rsidP="009B744C">
                    <w:pPr>
                      <w:widowControl w:val="0"/>
                      <w:autoSpaceDE w:val="0"/>
                      <w:autoSpaceDN w:val="0"/>
                      <w:spacing w:before="97" w:after="0" w:line="240" w:lineRule="auto"/>
                      <w:ind w:left="338" w:right="290" w:firstLine="5"/>
                      <w:jc w:val="center"/>
                      <w:rPr>
                        <w:rFonts w:ascii="Times New Roman" w:eastAsia="Arial MT" w:hAnsi="Times New Roman" w:cs="Arial MT"/>
                        <w:sz w:val="18"/>
                      </w:rPr>
                    </w:pP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Máster Universitario en Relaciones Internacionales y Migraciones / Master in International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Relations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Migrations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br/>
                    </w:r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(International and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European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 xml:space="preserve"> </w:t>
                    </w:r>
                    <w:proofErr w:type="spellStart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Studies</w:t>
                    </w:r>
                    <w:proofErr w:type="spellEnd"/>
                    <w:r w:rsidRPr="00933443">
                      <w:rPr>
                        <w:rFonts w:ascii="Times New Roman" w:eastAsia="Arial MT" w:hAnsi="Times New Roman" w:cs="Arial MT"/>
                        <w:color w:val="005373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33443"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76FD9FB5" wp14:editId="7AE4E93F">
          <wp:simplePos x="0" y="0"/>
          <wp:positionH relativeFrom="page">
            <wp:posOffset>379095</wp:posOffset>
          </wp:positionH>
          <wp:positionV relativeFrom="paragraph">
            <wp:posOffset>-153035</wp:posOffset>
          </wp:positionV>
          <wp:extent cx="1808988" cy="707135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7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744C" w:rsidRDefault="009B7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4C"/>
    <w:rsid w:val="00114E98"/>
    <w:rsid w:val="00331D67"/>
    <w:rsid w:val="0058492F"/>
    <w:rsid w:val="009B744C"/>
    <w:rsid w:val="00BE770E"/>
    <w:rsid w:val="00C22900"/>
    <w:rsid w:val="00E85002"/>
    <w:rsid w:val="00F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326F-70D7-445E-B9AF-31FA3250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4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BROSUB">
    <w:name w:val="LIBRO SUB"/>
    <w:basedOn w:val="Ttulo1"/>
    <w:next w:val="Normal"/>
    <w:link w:val="LIBROSUBCar"/>
    <w:qFormat/>
    <w:rsid w:val="00114E98"/>
    <w:pPr>
      <w:spacing w:after="240"/>
      <w:jc w:val="center"/>
    </w:pPr>
    <w:rPr>
      <w:rFonts w:ascii="Times New Roman" w:hAnsi="Times New Roman"/>
      <w:b/>
    </w:rPr>
  </w:style>
  <w:style w:type="character" w:customStyle="1" w:styleId="LIBROSUBCar">
    <w:name w:val="LIBRO SUB Car"/>
    <w:basedOn w:val="Ttulo1Car"/>
    <w:link w:val="LIBROSUB"/>
    <w:rsid w:val="00114E98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14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B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44C"/>
  </w:style>
  <w:style w:type="paragraph" w:styleId="Piedepgina">
    <w:name w:val="footer"/>
    <w:basedOn w:val="Normal"/>
    <w:link w:val="PiedepginaCar"/>
    <w:uiPriority w:val="99"/>
    <w:unhideWhenUsed/>
    <w:rsid w:val="009B7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44C"/>
  </w:style>
  <w:style w:type="paragraph" w:styleId="Textoindependiente">
    <w:name w:val="Body Text"/>
    <w:basedOn w:val="Normal"/>
    <w:link w:val="TextoindependienteCar"/>
    <w:rsid w:val="00BE77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770E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2021-09-24T09:40:00Z</dcterms:created>
  <dcterms:modified xsi:type="dcterms:W3CDTF">2021-09-26T18:25:00Z</dcterms:modified>
</cp:coreProperties>
</file>